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2430"/>
        <w:gridCol w:w="3960"/>
        <w:gridCol w:w="3870"/>
      </w:tblGrid>
      <w:tr w:rsidR="00191051" w:rsidRPr="00DE4ACB" w:rsidTr="00EE0C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  <w:shd w:val="clear" w:color="auto" w:fill="auto"/>
          </w:tcPr>
          <w:p w:rsidR="00191051" w:rsidRPr="00DE4ACB" w:rsidRDefault="00191051" w:rsidP="00EE0C7E">
            <w:pPr>
              <w:pStyle w:val="Tnum"/>
              <w:rPr>
                <w:snapToGrid w:val="0"/>
                <w:color w:val="auto"/>
              </w:rPr>
            </w:pPr>
            <w:bookmarkStart w:id="0" w:name="_GoBack"/>
            <w:bookmarkEnd w:id="0"/>
          </w:p>
          <w:p w:rsidR="00191051" w:rsidRPr="00DE4ACB" w:rsidRDefault="00191051" w:rsidP="00EE0C7E">
            <w:pPr>
              <w:pStyle w:val="Ttitle"/>
              <w:rPr>
                <w:snapToGrid w:val="0"/>
                <w:color w:val="auto"/>
              </w:rPr>
            </w:pPr>
            <w:r w:rsidRPr="00DE4ACB">
              <w:rPr>
                <w:snapToGrid w:val="0"/>
                <w:color w:val="auto"/>
              </w:rPr>
              <w:t>Investments in Other Firms</w:t>
            </w:r>
          </w:p>
        </w:tc>
      </w:tr>
      <w:tr w:rsidR="00191051" w:rsidRPr="00DE4ACB" w:rsidTr="00EE0C7E">
        <w:tblPrEx>
          <w:tblCellMar>
            <w:top w:w="0" w:type="dxa"/>
            <w:bottom w:w="0" w:type="dxa"/>
          </w:tblCellMar>
        </w:tblPrEx>
        <w:tc>
          <w:tcPr>
            <w:tcW w:w="2430" w:type="dxa"/>
            <w:shd w:val="clear" w:color="auto" w:fill="auto"/>
          </w:tcPr>
          <w:p w:rsidR="00191051" w:rsidRPr="00DE4ACB" w:rsidRDefault="00191051" w:rsidP="00EE0C7E">
            <w:pPr>
              <w:pStyle w:val="Tcolhd"/>
              <w:rPr>
                <w:snapToGrid w:val="0"/>
                <w:color w:val="auto"/>
              </w:rPr>
            </w:pPr>
            <w:r w:rsidRPr="00DE4ACB">
              <w:rPr>
                <w:snapToGrid w:val="0"/>
                <w:color w:val="auto"/>
              </w:rPr>
              <w:t>Percent Ownership of Firm</w:t>
            </w:r>
          </w:p>
        </w:tc>
        <w:tc>
          <w:tcPr>
            <w:tcW w:w="3960" w:type="dxa"/>
            <w:shd w:val="clear" w:color="auto" w:fill="auto"/>
          </w:tcPr>
          <w:p w:rsidR="00191051" w:rsidRPr="00DE4ACB" w:rsidRDefault="00191051" w:rsidP="00EE0C7E">
            <w:pPr>
              <w:pStyle w:val="Tcolhd"/>
              <w:rPr>
                <w:snapToGrid w:val="0"/>
                <w:color w:val="auto"/>
              </w:rPr>
            </w:pPr>
            <w:r w:rsidRPr="00DE4ACB">
              <w:rPr>
                <w:snapToGrid w:val="0"/>
                <w:color w:val="auto"/>
              </w:rPr>
              <w:t>Accounting Treatment</w:t>
            </w:r>
          </w:p>
        </w:tc>
        <w:tc>
          <w:tcPr>
            <w:tcW w:w="3870" w:type="dxa"/>
            <w:shd w:val="clear" w:color="auto" w:fill="auto"/>
          </w:tcPr>
          <w:p w:rsidR="00191051" w:rsidRPr="00DE4ACB" w:rsidRDefault="00191051" w:rsidP="00EE0C7E">
            <w:pPr>
              <w:pStyle w:val="Tcolhd"/>
              <w:rPr>
                <w:snapToGrid w:val="0"/>
                <w:color w:val="auto"/>
              </w:rPr>
            </w:pPr>
            <w:r w:rsidRPr="00DE4ACB">
              <w:rPr>
                <w:snapToGrid w:val="0"/>
                <w:color w:val="auto"/>
              </w:rPr>
              <w:t>Valuation Methodology</w:t>
            </w:r>
          </w:p>
        </w:tc>
      </w:tr>
      <w:tr w:rsidR="00191051" w:rsidRPr="00DE4ACB" w:rsidTr="00EE0C7E">
        <w:tblPrEx>
          <w:tblCellMar>
            <w:top w:w="0" w:type="dxa"/>
            <w:bottom w:w="0" w:type="dxa"/>
          </w:tblCellMar>
        </w:tblPrEx>
        <w:tc>
          <w:tcPr>
            <w:tcW w:w="2430" w:type="dxa"/>
            <w:shd w:val="clear" w:color="auto" w:fill="auto"/>
          </w:tcPr>
          <w:p w:rsidR="00191051" w:rsidRPr="00DE4ACB" w:rsidRDefault="00191051" w:rsidP="00EE0C7E">
            <w:pPr>
              <w:pStyle w:val="Tbody"/>
              <w:rPr>
                <w:snapToGrid w:val="0"/>
                <w:color w:val="auto"/>
              </w:rPr>
            </w:pPr>
            <w:r w:rsidRPr="00DE4ACB">
              <w:rPr>
                <w:snapToGrid w:val="0"/>
                <w:color w:val="auto"/>
              </w:rPr>
              <w:t>Minority, Passive Investments (Investment &lt;20% of other firm)</w:t>
            </w:r>
          </w:p>
        </w:tc>
        <w:tc>
          <w:tcPr>
            <w:tcW w:w="3960" w:type="dxa"/>
            <w:shd w:val="clear" w:color="auto" w:fill="auto"/>
          </w:tcPr>
          <w:p w:rsidR="00191051" w:rsidRPr="00DE4ACB" w:rsidRDefault="00191051" w:rsidP="00EE0C7E">
            <w:pPr>
              <w:pStyle w:val="Tbody"/>
              <w:ind w:left="342" w:hanging="342"/>
              <w:rPr>
                <w:snapToGrid w:val="0"/>
                <w:color w:val="auto"/>
              </w:rPr>
            </w:pPr>
            <w:r w:rsidRPr="00DE4ACB">
              <w:rPr>
                <w:rFonts w:ascii="Symbol" w:hAnsi="Symbol"/>
                <w:snapToGrid w:val="0"/>
                <w:color w:val="auto"/>
              </w:rPr>
              <w:t></w:t>
            </w:r>
            <w:r w:rsidRPr="00DE4ACB">
              <w:rPr>
                <w:rFonts w:ascii="Symbol" w:hAnsi="Symbol"/>
                <w:snapToGrid w:val="0"/>
                <w:color w:val="auto"/>
              </w:rPr>
              <w:tab/>
            </w:r>
            <w:r w:rsidRPr="00DE4ACB">
              <w:rPr>
                <w:snapToGrid w:val="0"/>
                <w:color w:val="auto"/>
              </w:rPr>
              <w:t>Assets held to maturity are carried at book value with interest or dividends shown on income statement</w:t>
            </w:r>
          </w:p>
          <w:p w:rsidR="00191051" w:rsidRPr="00DE4ACB" w:rsidRDefault="00191051" w:rsidP="00EE0C7E">
            <w:pPr>
              <w:pStyle w:val="Tbody"/>
              <w:ind w:left="342" w:hanging="342"/>
              <w:rPr>
                <w:snapToGrid w:val="0"/>
                <w:color w:val="auto"/>
              </w:rPr>
            </w:pPr>
            <w:r w:rsidRPr="00DE4ACB">
              <w:rPr>
                <w:rFonts w:ascii="Symbol" w:hAnsi="Symbol"/>
                <w:snapToGrid w:val="0"/>
                <w:color w:val="auto"/>
              </w:rPr>
              <w:t></w:t>
            </w:r>
            <w:r w:rsidRPr="00DE4ACB">
              <w:rPr>
                <w:rFonts w:ascii="Symbol" w:hAnsi="Symbol"/>
                <w:snapToGrid w:val="0"/>
                <w:color w:val="auto"/>
              </w:rPr>
              <w:tab/>
            </w:r>
            <w:r w:rsidRPr="00DE4ACB">
              <w:rPr>
                <w:snapToGrid w:val="0"/>
                <w:color w:val="auto"/>
              </w:rPr>
              <w:t>Investments available for sale are carried at market value, with unrealized gains/losses included as equity and not as income</w:t>
            </w:r>
          </w:p>
          <w:p w:rsidR="00191051" w:rsidRPr="00DE4ACB" w:rsidRDefault="00191051" w:rsidP="00EE0C7E">
            <w:pPr>
              <w:pStyle w:val="Tbody"/>
              <w:ind w:left="342" w:hanging="342"/>
              <w:rPr>
                <w:snapToGrid w:val="0"/>
                <w:color w:val="auto"/>
              </w:rPr>
            </w:pPr>
            <w:r w:rsidRPr="00DE4ACB">
              <w:rPr>
                <w:rFonts w:ascii="Symbol" w:hAnsi="Symbol"/>
                <w:snapToGrid w:val="0"/>
                <w:color w:val="auto"/>
              </w:rPr>
              <w:t></w:t>
            </w:r>
            <w:r w:rsidRPr="00DE4ACB">
              <w:rPr>
                <w:rFonts w:ascii="Symbol" w:hAnsi="Symbol"/>
                <w:snapToGrid w:val="0"/>
                <w:color w:val="auto"/>
              </w:rPr>
              <w:tab/>
            </w:r>
            <w:r w:rsidRPr="00DE4ACB">
              <w:rPr>
                <w:snapToGrid w:val="0"/>
                <w:color w:val="auto"/>
              </w:rPr>
              <w:t xml:space="preserve">Trading investments are shown at market value with unrealized gains/losses shown on the income </w:t>
            </w:r>
            <w:proofErr w:type="spellStart"/>
            <w:r w:rsidRPr="00DE4ACB">
              <w:rPr>
                <w:snapToGrid w:val="0"/>
                <w:color w:val="auto"/>
              </w:rPr>
              <w:t>statement</w:t>
            </w:r>
            <w:r w:rsidRPr="00DE4ACB">
              <w:rPr>
                <w:snapToGrid w:val="0"/>
                <w:color w:val="auto"/>
                <w:vertAlign w:val="superscript"/>
              </w:rPr>
              <w:t>a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191051" w:rsidRPr="00DE4ACB" w:rsidRDefault="00191051" w:rsidP="00EE0C7E">
            <w:pPr>
              <w:pStyle w:val="Tbody"/>
              <w:ind w:left="342" w:hanging="342"/>
              <w:rPr>
                <w:snapToGrid w:val="0"/>
                <w:color w:val="auto"/>
              </w:rPr>
            </w:pPr>
            <w:r w:rsidRPr="00DE4ACB">
              <w:rPr>
                <w:rFonts w:ascii="Symbol" w:hAnsi="Symbol"/>
                <w:snapToGrid w:val="0"/>
                <w:color w:val="auto"/>
              </w:rPr>
              <w:t></w:t>
            </w:r>
            <w:r w:rsidRPr="00DE4ACB">
              <w:rPr>
                <w:rFonts w:ascii="Symbol" w:hAnsi="Symbol"/>
                <w:snapToGrid w:val="0"/>
                <w:color w:val="auto"/>
              </w:rPr>
              <w:tab/>
            </w:r>
            <w:r>
              <w:rPr>
                <w:snapToGrid w:val="0"/>
                <w:color w:val="auto"/>
              </w:rPr>
              <w:t>For i</w:t>
            </w:r>
            <w:r w:rsidRPr="00DE4ACB">
              <w:rPr>
                <w:snapToGrid w:val="0"/>
                <w:color w:val="auto"/>
              </w:rPr>
              <w:t>nvestments recorded on investing firm’s balance sheet at book value:</w:t>
            </w:r>
          </w:p>
          <w:p w:rsidR="00191051" w:rsidRPr="00DE4ACB" w:rsidRDefault="00191051" w:rsidP="00EE0C7E">
            <w:pPr>
              <w:pStyle w:val="Tbody"/>
              <w:ind w:left="612" w:hanging="270"/>
              <w:rPr>
                <w:snapToGrid w:val="0"/>
                <w:color w:val="auto"/>
              </w:rPr>
            </w:pPr>
            <w:r w:rsidRPr="00DE4ACB">
              <w:rPr>
                <w:snapToGrid w:val="0"/>
                <w:color w:val="auto"/>
              </w:rPr>
              <w:t>1.</w:t>
            </w:r>
            <w:r w:rsidRPr="00DE4ACB">
              <w:rPr>
                <w:snapToGrid w:val="0"/>
                <w:color w:val="auto"/>
              </w:rPr>
              <w:tab/>
              <w:t>Value firm in which investment held</w:t>
            </w:r>
          </w:p>
          <w:p w:rsidR="00191051" w:rsidRPr="00DE4ACB" w:rsidRDefault="00191051" w:rsidP="00EE0C7E">
            <w:pPr>
              <w:pStyle w:val="Tbody"/>
              <w:ind w:left="612" w:hanging="270"/>
              <w:rPr>
                <w:snapToGrid w:val="0"/>
                <w:color w:val="auto"/>
              </w:rPr>
            </w:pPr>
            <w:r w:rsidRPr="00DE4ACB">
              <w:rPr>
                <w:snapToGrid w:val="0"/>
                <w:color w:val="auto"/>
              </w:rPr>
              <w:t>2.</w:t>
            </w:r>
            <w:r w:rsidRPr="00DE4ACB">
              <w:rPr>
                <w:snapToGrid w:val="0"/>
                <w:color w:val="auto"/>
              </w:rPr>
              <w:tab/>
              <w:t xml:space="preserve">Multiply the firm’s value by the proportionate share held by the investing firm to determine the investment’s market value </w:t>
            </w:r>
          </w:p>
          <w:p w:rsidR="00191051" w:rsidRPr="00DE4ACB" w:rsidRDefault="00191051" w:rsidP="00EE0C7E">
            <w:pPr>
              <w:pStyle w:val="Tbody"/>
              <w:ind w:left="612" w:hanging="270"/>
              <w:rPr>
                <w:snapToGrid w:val="0"/>
                <w:color w:val="auto"/>
              </w:rPr>
            </w:pPr>
            <w:r w:rsidRPr="00DE4ACB">
              <w:rPr>
                <w:snapToGrid w:val="0"/>
                <w:color w:val="auto"/>
              </w:rPr>
              <w:t>3.</w:t>
            </w:r>
            <w:r w:rsidRPr="00DE4ACB">
              <w:rPr>
                <w:snapToGrid w:val="0"/>
                <w:color w:val="auto"/>
              </w:rPr>
              <w:tab/>
              <w:t xml:space="preserve">Add the investment’s market value to the value of the investing firm’s </w:t>
            </w:r>
            <w:proofErr w:type="spellStart"/>
            <w:r w:rsidRPr="00DE4ACB">
              <w:rPr>
                <w:snapToGrid w:val="0"/>
                <w:color w:val="auto"/>
              </w:rPr>
              <w:t>nonoperating</w:t>
            </w:r>
            <w:proofErr w:type="spellEnd"/>
            <w:r w:rsidRPr="00DE4ACB">
              <w:rPr>
                <w:snapToGrid w:val="0"/>
                <w:color w:val="auto"/>
              </w:rPr>
              <w:t xml:space="preserve"> assets</w:t>
            </w:r>
          </w:p>
          <w:p w:rsidR="00191051" w:rsidRPr="00DE4ACB" w:rsidRDefault="00191051" w:rsidP="00EE0C7E">
            <w:pPr>
              <w:pStyle w:val="Tbody"/>
              <w:ind w:left="342" w:hanging="342"/>
              <w:rPr>
                <w:snapToGrid w:val="0"/>
                <w:color w:val="auto"/>
              </w:rPr>
            </w:pPr>
            <w:r w:rsidRPr="00DE4ACB">
              <w:rPr>
                <w:rFonts w:ascii="Symbol" w:hAnsi="Symbol"/>
                <w:snapToGrid w:val="0"/>
                <w:color w:val="auto"/>
              </w:rPr>
              <w:t></w:t>
            </w:r>
            <w:r w:rsidRPr="00DE4ACB">
              <w:rPr>
                <w:rFonts w:ascii="Symbol" w:hAnsi="Symbol"/>
                <w:snapToGrid w:val="0"/>
                <w:color w:val="auto"/>
              </w:rPr>
              <w:tab/>
            </w:r>
            <w:r w:rsidRPr="00DE4ACB">
              <w:rPr>
                <w:snapToGrid w:val="0"/>
                <w:color w:val="auto"/>
              </w:rPr>
              <w:t xml:space="preserve">For investments recorded at market value, add to the investing firm’s </w:t>
            </w:r>
            <w:proofErr w:type="spellStart"/>
            <w:r w:rsidRPr="00DE4ACB">
              <w:rPr>
                <w:snapToGrid w:val="0"/>
                <w:color w:val="auto"/>
              </w:rPr>
              <w:t>nonoperating</w:t>
            </w:r>
            <w:proofErr w:type="spellEnd"/>
            <w:r w:rsidRPr="00DE4ACB">
              <w:rPr>
                <w:snapToGrid w:val="0"/>
                <w:color w:val="auto"/>
              </w:rPr>
              <w:t xml:space="preserve"> assets</w:t>
            </w:r>
          </w:p>
        </w:tc>
      </w:tr>
      <w:tr w:rsidR="00191051" w:rsidRPr="00DE4ACB" w:rsidTr="00EE0C7E">
        <w:tblPrEx>
          <w:tblCellMar>
            <w:top w:w="0" w:type="dxa"/>
            <w:bottom w:w="0" w:type="dxa"/>
          </w:tblCellMar>
        </w:tblPrEx>
        <w:tc>
          <w:tcPr>
            <w:tcW w:w="2430" w:type="dxa"/>
            <w:shd w:val="clear" w:color="auto" w:fill="auto"/>
          </w:tcPr>
          <w:p w:rsidR="00191051" w:rsidRPr="00DE4ACB" w:rsidRDefault="00191051" w:rsidP="00EE0C7E">
            <w:pPr>
              <w:pStyle w:val="Tbody"/>
              <w:rPr>
                <w:snapToGrid w:val="0"/>
                <w:color w:val="auto"/>
              </w:rPr>
            </w:pPr>
            <w:r w:rsidRPr="00DE4ACB">
              <w:rPr>
                <w:snapToGrid w:val="0"/>
                <w:color w:val="auto"/>
              </w:rPr>
              <w:t>Minority, Active Investments—Equity Method (Investment is between 20% and 50% of the other firm’s value)</w:t>
            </w:r>
          </w:p>
        </w:tc>
        <w:tc>
          <w:tcPr>
            <w:tcW w:w="3960" w:type="dxa"/>
            <w:shd w:val="clear" w:color="auto" w:fill="auto"/>
          </w:tcPr>
          <w:p w:rsidR="00191051" w:rsidRPr="00DE4ACB" w:rsidRDefault="00191051" w:rsidP="00EE0C7E">
            <w:pPr>
              <w:pStyle w:val="Tbody"/>
              <w:ind w:left="342" w:hanging="342"/>
              <w:rPr>
                <w:snapToGrid w:val="0"/>
                <w:color w:val="auto"/>
              </w:rPr>
            </w:pPr>
            <w:r w:rsidRPr="00DE4ACB">
              <w:rPr>
                <w:rFonts w:ascii="Symbol" w:hAnsi="Symbol"/>
                <w:snapToGrid w:val="0"/>
                <w:color w:val="auto"/>
              </w:rPr>
              <w:t></w:t>
            </w:r>
            <w:r w:rsidRPr="00DE4ACB">
              <w:rPr>
                <w:rFonts w:ascii="Symbol" w:hAnsi="Symbol"/>
                <w:snapToGrid w:val="0"/>
                <w:color w:val="auto"/>
              </w:rPr>
              <w:tab/>
            </w:r>
            <w:r w:rsidRPr="00DE4ACB">
              <w:rPr>
                <w:snapToGrid w:val="0"/>
                <w:color w:val="auto"/>
              </w:rPr>
              <w:t>Initial acquisition value is adjusted for proportional share of subsequent profits/losses</w:t>
            </w:r>
          </w:p>
          <w:p w:rsidR="00191051" w:rsidRPr="00DE4ACB" w:rsidRDefault="00191051" w:rsidP="00EE0C7E">
            <w:pPr>
              <w:pStyle w:val="Tbody"/>
              <w:ind w:left="342" w:hanging="342"/>
              <w:rPr>
                <w:snapToGrid w:val="0"/>
                <w:color w:val="auto"/>
              </w:rPr>
            </w:pPr>
            <w:r w:rsidRPr="00DE4ACB">
              <w:rPr>
                <w:rFonts w:ascii="Symbol" w:hAnsi="Symbol"/>
                <w:snapToGrid w:val="0"/>
                <w:color w:val="auto"/>
              </w:rPr>
              <w:t></w:t>
            </w:r>
            <w:r w:rsidRPr="00DE4ACB">
              <w:rPr>
                <w:rFonts w:ascii="Symbol" w:hAnsi="Symbol"/>
                <w:snapToGrid w:val="0"/>
                <w:color w:val="auto"/>
              </w:rPr>
              <w:tab/>
            </w:r>
            <w:r w:rsidRPr="00DE4ACB">
              <w:rPr>
                <w:snapToGrid w:val="0"/>
                <w:color w:val="auto"/>
              </w:rPr>
              <w:t>Market value estimated on liquidation and gain/loss reported on income statement</w:t>
            </w:r>
          </w:p>
        </w:tc>
        <w:tc>
          <w:tcPr>
            <w:tcW w:w="3870" w:type="dxa"/>
            <w:shd w:val="clear" w:color="auto" w:fill="auto"/>
          </w:tcPr>
          <w:p w:rsidR="00191051" w:rsidRPr="00DE4ACB" w:rsidRDefault="00191051" w:rsidP="00EE0C7E">
            <w:pPr>
              <w:pStyle w:val="Tbody"/>
              <w:ind w:left="342" w:hanging="342"/>
              <w:rPr>
                <w:snapToGrid w:val="0"/>
                <w:color w:val="auto"/>
              </w:rPr>
            </w:pPr>
            <w:r w:rsidRPr="00DE4ACB">
              <w:rPr>
                <w:rFonts w:ascii="Symbol" w:hAnsi="Symbol"/>
                <w:snapToGrid w:val="0"/>
                <w:color w:val="auto"/>
              </w:rPr>
              <w:t></w:t>
            </w:r>
            <w:r w:rsidRPr="00DE4ACB">
              <w:rPr>
                <w:rFonts w:ascii="Symbol" w:hAnsi="Symbol"/>
                <w:snapToGrid w:val="0"/>
                <w:color w:val="auto"/>
              </w:rPr>
              <w:tab/>
            </w:r>
            <w:r w:rsidRPr="00DE4ACB">
              <w:rPr>
                <w:snapToGrid w:val="0"/>
                <w:color w:val="auto"/>
              </w:rPr>
              <w:t>Valuation Steps:</w:t>
            </w:r>
          </w:p>
          <w:p w:rsidR="00191051" w:rsidRPr="00DE4ACB" w:rsidRDefault="00191051" w:rsidP="00EE0C7E">
            <w:pPr>
              <w:pStyle w:val="Tbody"/>
              <w:ind w:left="702" w:hanging="360"/>
              <w:rPr>
                <w:snapToGrid w:val="0"/>
                <w:color w:val="auto"/>
              </w:rPr>
            </w:pPr>
            <w:r w:rsidRPr="00DE4ACB">
              <w:rPr>
                <w:snapToGrid w:val="0"/>
                <w:color w:val="auto"/>
              </w:rPr>
              <w:t>1.</w:t>
            </w:r>
            <w:r w:rsidRPr="00DE4ACB">
              <w:rPr>
                <w:snapToGrid w:val="0"/>
                <w:color w:val="auto"/>
              </w:rPr>
              <w:tab/>
              <w:t>Value the firms in which the investments are held</w:t>
            </w:r>
          </w:p>
          <w:p w:rsidR="00191051" w:rsidRPr="00DE4ACB" w:rsidRDefault="00191051" w:rsidP="00EE0C7E">
            <w:pPr>
              <w:pStyle w:val="Tbody"/>
              <w:ind w:left="702" w:hanging="360"/>
              <w:rPr>
                <w:snapToGrid w:val="0"/>
                <w:color w:val="auto"/>
              </w:rPr>
            </w:pPr>
            <w:r w:rsidRPr="00DE4ACB">
              <w:rPr>
                <w:snapToGrid w:val="0"/>
                <w:color w:val="auto"/>
              </w:rPr>
              <w:t>2.</w:t>
            </w:r>
            <w:r w:rsidRPr="00DE4ACB">
              <w:rPr>
                <w:snapToGrid w:val="0"/>
                <w:color w:val="auto"/>
              </w:rPr>
              <w:tab/>
              <w:t xml:space="preserve">Multiply each firm’s resulting market value by the investing firm’s proportionate ownership share  </w:t>
            </w:r>
          </w:p>
          <w:p w:rsidR="00191051" w:rsidRPr="00DE4ACB" w:rsidRDefault="00191051" w:rsidP="00EE0C7E">
            <w:pPr>
              <w:pStyle w:val="Tbody"/>
              <w:ind w:left="702" w:hanging="360"/>
              <w:rPr>
                <w:snapToGrid w:val="0"/>
                <w:color w:val="auto"/>
              </w:rPr>
            </w:pPr>
            <w:r w:rsidRPr="00DE4ACB">
              <w:rPr>
                <w:snapToGrid w:val="0"/>
                <w:color w:val="auto"/>
              </w:rPr>
              <w:t>3.</w:t>
            </w:r>
            <w:r w:rsidRPr="00DE4ACB">
              <w:rPr>
                <w:snapToGrid w:val="0"/>
                <w:color w:val="auto"/>
              </w:rPr>
              <w:tab/>
              <w:t xml:space="preserve">Add the resulting estimated value to the investing firm’s </w:t>
            </w:r>
            <w:proofErr w:type="spellStart"/>
            <w:r w:rsidRPr="00DE4ACB">
              <w:rPr>
                <w:snapToGrid w:val="0"/>
                <w:color w:val="auto"/>
              </w:rPr>
              <w:t>nonoperating</w:t>
            </w:r>
            <w:proofErr w:type="spellEnd"/>
            <w:r w:rsidRPr="00DE4ACB">
              <w:rPr>
                <w:snapToGrid w:val="0"/>
                <w:color w:val="auto"/>
              </w:rPr>
              <w:t xml:space="preserve"> assets</w:t>
            </w:r>
          </w:p>
        </w:tc>
      </w:tr>
      <w:tr w:rsidR="00191051" w:rsidRPr="00DE4ACB" w:rsidTr="00EE0C7E">
        <w:tblPrEx>
          <w:tblCellMar>
            <w:top w:w="0" w:type="dxa"/>
            <w:bottom w:w="0" w:type="dxa"/>
          </w:tblCellMar>
        </w:tblPrEx>
        <w:tc>
          <w:tcPr>
            <w:tcW w:w="2430" w:type="dxa"/>
            <w:shd w:val="clear" w:color="auto" w:fill="auto"/>
          </w:tcPr>
          <w:p w:rsidR="00191051" w:rsidRPr="00DE4ACB" w:rsidRDefault="00191051" w:rsidP="00EE0C7E">
            <w:pPr>
              <w:pStyle w:val="Tbody"/>
              <w:rPr>
                <w:snapToGrid w:val="0"/>
                <w:color w:val="auto"/>
              </w:rPr>
            </w:pPr>
            <w:r w:rsidRPr="00DE4ACB">
              <w:rPr>
                <w:snapToGrid w:val="0"/>
                <w:color w:val="auto"/>
              </w:rPr>
              <w:t>Majority Investments (Investment &gt;50% of other firm’s value)</w:t>
            </w:r>
          </w:p>
        </w:tc>
        <w:tc>
          <w:tcPr>
            <w:tcW w:w="3960" w:type="dxa"/>
            <w:shd w:val="clear" w:color="auto" w:fill="auto"/>
          </w:tcPr>
          <w:p w:rsidR="00191051" w:rsidRPr="00DE4ACB" w:rsidRDefault="00191051" w:rsidP="00EE0C7E">
            <w:pPr>
              <w:pStyle w:val="Tbody"/>
              <w:ind w:left="342" w:hanging="342"/>
              <w:rPr>
                <w:snapToGrid w:val="0"/>
                <w:color w:val="auto"/>
              </w:rPr>
            </w:pPr>
            <w:r w:rsidRPr="00DE4ACB">
              <w:rPr>
                <w:rFonts w:ascii="Symbol" w:hAnsi="Symbol"/>
                <w:snapToGrid w:val="0"/>
                <w:color w:val="auto"/>
              </w:rPr>
              <w:t></w:t>
            </w:r>
            <w:r w:rsidRPr="00DE4ACB">
              <w:rPr>
                <w:rFonts w:ascii="Symbol" w:hAnsi="Symbol"/>
                <w:snapToGrid w:val="0"/>
                <w:color w:val="auto"/>
              </w:rPr>
              <w:tab/>
            </w:r>
            <w:r w:rsidRPr="00DE4ACB">
              <w:rPr>
                <w:snapToGrid w:val="0"/>
                <w:color w:val="auto"/>
              </w:rPr>
              <w:t xml:space="preserve">Requires consolidation of both firms’ balance </w:t>
            </w:r>
            <w:proofErr w:type="spellStart"/>
            <w:r w:rsidRPr="00DE4ACB">
              <w:rPr>
                <w:snapToGrid w:val="0"/>
                <w:color w:val="auto"/>
              </w:rPr>
              <w:t>sheets</w:t>
            </w:r>
            <w:r w:rsidRPr="00DE4ACB">
              <w:rPr>
                <w:snapToGrid w:val="0"/>
                <w:color w:val="auto"/>
                <w:vertAlign w:val="superscript"/>
              </w:rPr>
              <w:t>b</w:t>
            </w:r>
            <w:proofErr w:type="spellEnd"/>
          </w:p>
          <w:p w:rsidR="00191051" w:rsidRPr="00DE4ACB" w:rsidRDefault="00191051" w:rsidP="00EE0C7E">
            <w:pPr>
              <w:pStyle w:val="Tbody"/>
              <w:ind w:left="342" w:hanging="342"/>
              <w:rPr>
                <w:snapToGrid w:val="0"/>
                <w:color w:val="auto"/>
              </w:rPr>
            </w:pPr>
            <w:r w:rsidRPr="00DE4ACB">
              <w:rPr>
                <w:rFonts w:ascii="Symbol" w:hAnsi="Symbol"/>
                <w:snapToGrid w:val="0"/>
                <w:color w:val="auto"/>
              </w:rPr>
              <w:t></w:t>
            </w:r>
            <w:r w:rsidRPr="00DE4ACB">
              <w:rPr>
                <w:rFonts w:ascii="Symbol" w:hAnsi="Symbol"/>
                <w:snapToGrid w:val="0"/>
                <w:color w:val="auto"/>
              </w:rPr>
              <w:tab/>
            </w:r>
            <w:r w:rsidRPr="00DE4ACB">
              <w:rPr>
                <w:snapToGrid w:val="0"/>
                <w:color w:val="auto"/>
              </w:rPr>
              <w:t xml:space="preserve">Shares held by other investors are shown as a </w:t>
            </w:r>
            <w:proofErr w:type="spellStart"/>
            <w:r w:rsidRPr="00DE4ACB">
              <w:rPr>
                <w:snapToGrid w:val="0"/>
                <w:color w:val="auto"/>
              </w:rPr>
              <w:t>noncontrolling</w:t>
            </w:r>
            <w:proofErr w:type="spellEnd"/>
            <w:r w:rsidRPr="00DE4ACB">
              <w:rPr>
                <w:snapToGrid w:val="0"/>
                <w:color w:val="auto"/>
              </w:rPr>
              <w:t xml:space="preserve"> or minority interest in the shareholders’ equity account of the consolidated firms’ balance sheet</w:t>
            </w:r>
          </w:p>
        </w:tc>
        <w:tc>
          <w:tcPr>
            <w:tcW w:w="3870" w:type="dxa"/>
            <w:shd w:val="clear" w:color="auto" w:fill="auto"/>
          </w:tcPr>
          <w:p w:rsidR="00191051" w:rsidRPr="00DE4ACB" w:rsidRDefault="00191051" w:rsidP="00EE0C7E">
            <w:pPr>
              <w:pStyle w:val="Tbody"/>
              <w:ind w:left="342" w:hanging="342"/>
              <w:rPr>
                <w:snapToGrid w:val="0"/>
                <w:color w:val="auto"/>
              </w:rPr>
            </w:pPr>
            <w:r w:rsidRPr="00DE4ACB">
              <w:rPr>
                <w:rFonts w:ascii="Symbol" w:hAnsi="Symbol"/>
                <w:snapToGrid w:val="0"/>
                <w:color w:val="auto"/>
              </w:rPr>
              <w:t></w:t>
            </w:r>
            <w:r w:rsidRPr="00DE4ACB">
              <w:rPr>
                <w:rFonts w:ascii="Symbol" w:hAnsi="Symbol"/>
                <w:snapToGrid w:val="0"/>
                <w:color w:val="auto"/>
              </w:rPr>
              <w:tab/>
            </w:r>
            <w:r w:rsidRPr="00DE4ACB">
              <w:rPr>
                <w:snapToGrid w:val="0"/>
                <w:color w:val="auto"/>
              </w:rPr>
              <w:t xml:space="preserve">If the parent owns 100% of the subsidiary, value the two on a consolidated </w:t>
            </w:r>
            <w:proofErr w:type="spellStart"/>
            <w:r w:rsidRPr="00DE4ACB">
              <w:rPr>
                <w:snapToGrid w:val="0"/>
                <w:color w:val="auto"/>
              </w:rPr>
              <w:t>basis</w:t>
            </w:r>
            <w:r w:rsidRPr="00DE4ACB">
              <w:rPr>
                <w:snapToGrid w:val="0"/>
                <w:color w:val="auto"/>
                <w:vertAlign w:val="superscript"/>
              </w:rPr>
              <w:t>c</w:t>
            </w:r>
            <w:proofErr w:type="spellEnd"/>
          </w:p>
          <w:p w:rsidR="00191051" w:rsidRPr="00DE4ACB" w:rsidRDefault="00191051" w:rsidP="00EE0C7E">
            <w:pPr>
              <w:pStyle w:val="Tbody"/>
              <w:ind w:left="342" w:hanging="342"/>
              <w:rPr>
                <w:snapToGrid w:val="0"/>
                <w:color w:val="auto"/>
              </w:rPr>
            </w:pPr>
            <w:r w:rsidRPr="00DE4ACB">
              <w:rPr>
                <w:rFonts w:ascii="Symbol" w:hAnsi="Symbol"/>
                <w:snapToGrid w:val="0"/>
                <w:color w:val="auto"/>
              </w:rPr>
              <w:t></w:t>
            </w:r>
            <w:r w:rsidRPr="00DE4ACB">
              <w:rPr>
                <w:rFonts w:ascii="Symbol" w:hAnsi="Symbol"/>
                <w:snapToGrid w:val="0"/>
                <w:color w:val="auto"/>
              </w:rPr>
              <w:tab/>
            </w:r>
            <w:r w:rsidRPr="00DE4ACB">
              <w:rPr>
                <w:snapToGrid w:val="0"/>
                <w:color w:val="auto"/>
              </w:rPr>
              <w:t xml:space="preserve">If the parent owns less than 100%, value the parent and subsidiary on a consolidated basis and subtract the market value of minority </w:t>
            </w:r>
            <w:proofErr w:type="spellStart"/>
            <w:r w:rsidRPr="00DE4ACB">
              <w:rPr>
                <w:snapToGrid w:val="0"/>
                <w:color w:val="auto"/>
              </w:rPr>
              <w:t>interest</w:t>
            </w:r>
            <w:r w:rsidRPr="00DE4ACB">
              <w:rPr>
                <w:snapToGrid w:val="0"/>
                <w:color w:val="auto"/>
                <w:vertAlign w:val="superscript"/>
              </w:rPr>
              <w:t>d</w:t>
            </w:r>
            <w:proofErr w:type="spellEnd"/>
          </w:p>
        </w:tc>
      </w:tr>
      <w:tr w:rsidR="00191051" w:rsidRPr="00DE4ACB" w:rsidTr="00EE0C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  <w:shd w:val="clear" w:color="auto" w:fill="auto"/>
          </w:tcPr>
          <w:p w:rsidR="00191051" w:rsidRPr="00EE0C7E" w:rsidRDefault="00191051" w:rsidP="00EE0C7E">
            <w:pPr>
              <w:pStyle w:val="Tftnote"/>
              <w:rPr>
                <w:snapToGrid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E0C7E">
              <w:rPr>
                <w:snapToGrid w:val="0"/>
                <w:color w:val="auto"/>
                <w:sz w:val="20"/>
                <w:szCs w:val="20"/>
                <w:vertAlign w:val="superscript"/>
              </w:rPr>
              <w:lastRenderedPageBreak/>
              <w:t>a</w:t>
            </w:r>
            <w:r w:rsidRPr="00EE0C7E">
              <w:rPr>
                <w:snapToGrid w:val="0"/>
                <w:color w:val="auto"/>
                <w:sz w:val="20"/>
                <w:szCs w:val="20"/>
              </w:rPr>
              <w:t>Financial</w:t>
            </w:r>
            <w:proofErr w:type="spellEnd"/>
            <w:proofErr w:type="gramEnd"/>
            <w:r w:rsidRPr="00EE0C7E">
              <w:rPr>
                <w:snapToGrid w:val="0"/>
                <w:color w:val="auto"/>
                <w:sz w:val="20"/>
                <w:szCs w:val="20"/>
              </w:rPr>
              <w:t xml:space="preserve"> services firms may have to revalue their assets more frequently to reflect changes in their market value. </w:t>
            </w:r>
          </w:p>
          <w:p w:rsidR="00191051" w:rsidRPr="00EE0C7E" w:rsidRDefault="00191051" w:rsidP="00EE0C7E">
            <w:pPr>
              <w:pStyle w:val="Tftnote"/>
              <w:rPr>
                <w:snapToGrid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E0C7E">
              <w:rPr>
                <w:snapToGrid w:val="0"/>
                <w:color w:val="auto"/>
                <w:sz w:val="20"/>
                <w:szCs w:val="20"/>
                <w:vertAlign w:val="superscript"/>
              </w:rPr>
              <w:t>b</w:t>
            </w:r>
            <w:r w:rsidRPr="00EE0C7E">
              <w:rPr>
                <w:snapToGrid w:val="0"/>
                <w:color w:val="auto"/>
                <w:sz w:val="20"/>
                <w:szCs w:val="20"/>
              </w:rPr>
              <w:t>A</w:t>
            </w:r>
            <w:proofErr w:type="spellEnd"/>
            <w:proofErr w:type="gramEnd"/>
            <w:r w:rsidRPr="00EE0C7E">
              <w:rPr>
                <w:snapToGrid w:val="0"/>
                <w:color w:val="auto"/>
                <w:sz w:val="20"/>
                <w:szCs w:val="20"/>
              </w:rPr>
              <w:t xml:space="preserve"> firm may be required to consolidate both firms’ balance sheets even if it owns less than 50% if its ownership position gives it effective control of the other firm.</w:t>
            </w:r>
          </w:p>
          <w:p w:rsidR="00191051" w:rsidRPr="00EE0C7E" w:rsidRDefault="00191051" w:rsidP="00EE0C7E">
            <w:pPr>
              <w:pStyle w:val="Tftnote"/>
              <w:rPr>
                <w:snapToGrid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E0C7E">
              <w:rPr>
                <w:snapToGrid w:val="0"/>
                <w:color w:val="auto"/>
                <w:sz w:val="20"/>
                <w:szCs w:val="20"/>
                <w:vertAlign w:val="superscript"/>
              </w:rPr>
              <w:t>c</w:t>
            </w:r>
            <w:r w:rsidRPr="00EE0C7E">
              <w:rPr>
                <w:snapToGrid w:val="0"/>
                <w:color w:val="auto"/>
                <w:sz w:val="20"/>
                <w:szCs w:val="20"/>
              </w:rPr>
              <w:t>If</w:t>
            </w:r>
            <w:proofErr w:type="spellEnd"/>
            <w:proofErr w:type="gramEnd"/>
            <w:r w:rsidRPr="00EE0C7E">
              <w:rPr>
                <w:snapToGrid w:val="0"/>
                <w:color w:val="auto"/>
                <w:sz w:val="20"/>
                <w:szCs w:val="20"/>
              </w:rPr>
              <w:t xml:space="preserve"> the subsidiary is in a different industry from the parent, a weighted average cost of capital reflecting the different costs of capital for the two businesses should be used to discount cash flows generated by the consolidated businesses.</w:t>
            </w:r>
          </w:p>
          <w:p w:rsidR="00191051" w:rsidRPr="00DE4ACB" w:rsidRDefault="00191051" w:rsidP="00EE0C7E">
            <w:pPr>
              <w:pStyle w:val="Tftnote"/>
              <w:rPr>
                <w:snapToGrid w:val="0"/>
                <w:color w:val="auto"/>
              </w:rPr>
            </w:pPr>
            <w:proofErr w:type="spellStart"/>
            <w:proofErr w:type="gramStart"/>
            <w:r w:rsidRPr="00EE0C7E">
              <w:rPr>
                <w:snapToGrid w:val="0"/>
                <w:color w:val="auto"/>
                <w:sz w:val="20"/>
                <w:szCs w:val="20"/>
                <w:vertAlign w:val="superscript"/>
              </w:rPr>
              <w:t>d</w:t>
            </w:r>
            <w:r w:rsidRPr="00EE0C7E">
              <w:rPr>
                <w:snapToGrid w:val="0"/>
                <w:color w:val="auto"/>
                <w:sz w:val="20"/>
                <w:szCs w:val="20"/>
              </w:rPr>
              <w:t>If</w:t>
            </w:r>
            <w:proofErr w:type="spellEnd"/>
            <w:proofErr w:type="gramEnd"/>
            <w:r w:rsidRPr="00EE0C7E">
              <w:rPr>
                <w:snapToGrid w:val="0"/>
                <w:color w:val="auto"/>
                <w:sz w:val="20"/>
                <w:szCs w:val="20"/>
              </w:rPr>
              <w:t xml:space="preserve"> a subsidiary is valued at $500 million and the parent owns 75% of the subsidiary, the value of the subsidiary to the parent is $375 million (i.e., $500 million – 0.25 </w:t>
            </w:r>
            <w:r w:rsidRPr="00EE0C7E">
              <w:rPr>
                <w:snapToGrid w:val="0"/>
                <w:color w:val="auto"/>
                <w:sz w:val="20"/>
                <w:szCs w:val="20"/>
              </w:rPr>
              <w:sym w:font="Symbol" w:char="F0B4"/>
            </w:r>
            <w:r w:rsidRPr="00EE0C7E">
              <w:rPr>
                <w:snapToGrid w:val="0"/>
                <w:color w:val="auto"/>
                <w:sz w:val="20"/>
                <w:szCs w:val="20"/>
              </w:rPr>
              <w:t xml:space="preserve"> $500 million to reflect the value owned by minority shareholders).</w:t>
            </w:r>
          </w:p>
        </w:tc>
      </w:tr>
    </w:tbl>
    <w:p w:rsidR="00EC513D" w:rsidRDefault="00EC513D"/>
    <w:sectPr w:rsidR="00EC5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1A"/>
    <w:rsid w:val="00191051"/>
    <w:rsid w:val="003F481A"/>
    <w:rsid w:val="00E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5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um">
    <w:name w:val="T num"/>
    <w:basedOn w:val="Normal"/>
    <w:next w:val="Normal"/>
    <w:rsid w:val="00191051"/>
    <w:pPr>
      <w:spacing w:before="12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Ttitle">
    <w:name w:val="T title"/>
    <w:basedOn w:val="Normal"/>
    <w:next w:val="Normal"/>
    <w:rsid w:val="00191051"/>
    <w:pPr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Tbody">
    <w:name w:val="T body"/>
    <w:basedOn w:val="Normal"/>
    <w:rsid w:val="00191051"/>
    <w:rPr>
      <w:color w:val="0000FF"/>
      <w:sz w:val="24"/>
      <w:szCs w:val="24"/>
    </w:rPr>
  </w:style>
  <w:style w:type="paragraph" w:customStyle="1" w:styleId="Tcolhd">
    <w:name w:val="T col hd"/>
    <w:basedOn w:val="Normal"/>
    <w:next w:val="Normal"/>
    <w:rsid w:val="00191051"/>
    <w:pPr>
      <w:jc w:val="center"/>
      <w:outlineLvl w:val="7"/>
    </w:pPr>
    <w:rPr>
      <w:rFonts w:ascii="Arial" w:hAnsi="Arial"/>
      <w:color w:val="0000FF"/>
      <w:sz w:val="24"/>
      <w:szCs w:val="24"/>
    </w:rPr>
  </w:style>
  <w:style w:type="paragraph" w:customStyle="1" w:styleId="Tftnote">
    <w:name w:val="T ftnote"/>
    <w:basedOn w:val="Normal"/>
    <w:rsid w:val="00191051"/>
    <w:pPr>
      <w:spacing w:after="60" w:line="300" w:lineRule="exact"/>
    </w:pPr>
    <w:rPr>
      <w:color w:val="0000F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5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um">
    <w:name w:val="T num"/>
    <w:basedOn w:val="Normal"/>
    <w:next w:val="Normal"/>
    <w:rsid w:val="00191051"/>
    <w:pPr>
      <w:spacing w:before="12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Ttitle">
    <w:name w:val="T title"/>
    <w:basedOn w:val="Normal"/>
    <w:next w:val="Normal"/>
    <w:rsid w:val="00191051"/>
    <w:pPr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Tbody">
    <w:name w:val="T body"/>
    <w:basedOn w:val="Normal"/>
    <w:rsid w:val="00191051"/>
    <w:rPr>
      <w:color w:val="0000FF"/>
      <w:sz w:val="24"/>
      <w:szCs w:val="24"/>
    </w:rPr>
  </w:style>
  <w:style w:type="paragraph" w:customStyle="1" w:styleId="Tcolhd">
    <w:name w:val="T col hd"/>
    <w:basedOn w:val="Normal"/>
    <w:next w:val="Normal"/>
    <w:rsid w:val="00191051"/>
    <w:pPr>
      <w:jc w:val="center"/>
      <w:outlineLvl w:val="7"/>
    </w:pPr>
    <w:rPr>
      <w:rFonts w:ascii="Arial" w:hAnsi="Arial"/>
      <w:color w:val="0000FF"/>
      <w:sz w:val="24"/>
      <w:szCs w:val="24"/>
    </w:rPr>
  </w:style>
  <w:style w:type="paragraph" w:customStyle="1" w:styleId="Tftnote">
    <w:name w:val="T ftnote"/>
    <w:basedOn w:val="Normal"/>
    <w:rsid w:val="00191051"/>
    <w:pPr>
      <w:spacing w:after="60" w:line="300" w:lineRule="exact"/>
    </w:pPr>
    <w:rPr>
      <w:color w:val="0000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2</cp:revision>
  <dcterms:created xsi:type="dcterms:W3CDTF">2012-09-16T18:04:00Z</dcterms:created>
  <dcterms:modified xsi:type="dcterms:W3CDTF">2012-09-16T18:04:00Z</dcterms:modified>
</cp:coreProperties>
</file>